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74730" w14:textId="261DC8D6" w:rsidR="002756BE" w:rsidRPr="001E0F49" w:rsidRDefault="002756BE" w:rsidP="002756BE">
      <w:pPr>
        <w:rPr>
          <w:rFonts w:ascii="Arial" w:hAnsi="Arial" w:cs="Arial"/>
          <w:sz w:val="22"/>
          <w:szCs w:val="22"/>
        </w:rPr>
      </w:pPr>
      <w:r w:rsidRPr="001E0F49">
        <w:rPr>
          <w:rFonts w:ascii="Arial" w:hAnsi="Arial" w:cs="Arial"/>
          <w:b/>
          <w:bCs/>
          <w:sz w:val="22"/>
          <w:szCs w:val="22"/>
        </w:rPr>
        <w:t>MEMORANDUM</w:t>
      </w:r>
      <w:r w:rsidR="001E0F49">
        <w:rPr>
          <w:rFonts w:ascii="Arial" w:hAnsi="Arial" w:cs="Arial"/>
          <w:b/>
          <w:bCs/>
          <w:sz w:val="22"/>
          <w:szCs w:val="22"/>
        </w:rPr>
        <w:t>(Round-2)</w:t>
      </w:r>
      <w:r w:rsidRPr="001E0F49">
        <w:rPr>
          <w:rFonts w:ascii="Arial" w:hAnsi="Arial" w:cs="Arial"/>
          <w:sz w:val="22"/>
          <w:szCs w:val="22"/>
        </w:rPr>
        <w:br/>
        <w:t>To: Ms. Priya Sharma, Senior Partner, Apex Ventures</w:t>
      </w:r>
      <w:r w:rsidRPr="001E0F49">
        <w:rPr>
          <w:rFonts w:ascii="Arial" w:hAnsi="Arial" w:cs="Arial"/>
          <w:sz w:val="22"/>
          <w:szCs w:val="22"/>
        </w:rPr>
        <w:br/>
        <w:t>From: Ashutosh Srivastava</w:t>
      </w:r>
      <w:r w:rsidRPr="001E0F49">
        <w:rPr>
          <w:rFonts w:ascii="Arial" w:hAnsi="Arial" w:cs="Arial"/>
          <w:sz w:val="22"/>
          <w:szCs w:val="22"/>
        </w:rPr>
        <w:br/>
        <w:t>Date: 11 July 2025</w:t>
      </w:r>
      <w:r w:rsidRPr="001E0F49">
        <w:rPr>
          <w:rFonts w:ascii="Arial" w:hAnsi="Arial" w:cs="Arial"/>
          <w:sz w:val="22"/>
          <w:szCs w:val="22"/>
        </w:rPr>
        <w:br/>
        <w:t xml:space="preserve">Subject: Investment Evaluation – </w:t>
      </w:r>
      <w:proofErr w:type="spellStart"/>
      <w:r w:rsidRPr="001E0F49">
        <w:rPr>
          <w:rFonts w:ascii="Arial" w:hAnsi="Arial" w:cs="Arial"/>
          <w:sz w:val="22"/>
          <w:szCs w:val="22"/>
        </w:rPr>
        <w:t>EduMentor</w:t>
      </w:r>
      <w:proofErr w:type="spellEnd"/>
      <w:r w:rsidRPr="001E0F49">
        <w:rPr>
          <w:rFonts w:ascii="Arial" w:hAnsi="Arial" w:cs="Arial"/>
          <w:sz w:val="22"/>
          <w:szCs w:val="22"/>
        </w:rPr>
        <w:t xml:space="preserve"> (Round 2)</w:t>
      </w:r>
    </w:p>
    <w:p w14:paraId="60B2CC3C" w14:textId="77777777" w:rsidR="002756BE" w:rsidRPr="001E0F49" w:rsidRDefault="00000000" w:rsidP="002756BE">
      <w:pPr>
        <w:rPr>
          <w:rFonts w:ascii="Arial" w:hAnsi="Arial" w:cs="Arial"/>
          <w:sz w:val="22"/>
          <w:szCs w:val="22"/>
        </w:rPr>
      </w:pPr>
      <w:r w:rsidRPr="001E0F49">
        <w:rPr>
          <w:rFonts w:ascii="Arial" w:hAnsi="Arial" w:cs="Arial"/>
          <w:sz w:val="22"/>
          <w:szCs w:val="22"/>
        </w:rPr>
        <w:pict w14:anchorId="70777EEB">
          <v:rect id="_x0000_i1025" style="width:0;height:1.5pt" o:hralign="center" o:hrstd="t" o:hr="t" fillcolor="#a0a0a0" stroked="f"/>
        </w:pict>
      </w:r>
    </w:p>
    <w:p w14:paraId="465204CB" w14:textId="77777777" w:rsidR="002756BE" w:rsidRPr="001E0F49" w:rsidRDefault="002756BE" w:rsidP="002756BE">
      <w:pPr>
        <w:rPr>
          <w:rFonts w:ascii="Arial" w:hAnsi="Arial" w:cs="Arial"/>
          <w:sz w:val="22"/>
          <w:szCs w:val="22"/>
        </w:rPr>
      </w:pPr>
      <w:r w:rsidRPr="001E0F49">
        <w:rPr>
          <w:rFonts w:ascii="Arial" w:hAnsi="Arial" w:cs="Arial"/>
          <w:b/>
          <w:bCs/>
          <w:sz w:val="22"/>
          <w:szCs w:val="22"/>
        </w:rPr>
        <w:t>1. Executive Summary</w:t>
      </w:r>
      <w:r w:rsidRPr="001E0F49">
        <w:rPr>
          <w:rFonts w:ascii="Arial" w:hAnsi="Arial" w:cs="Arial"/>
          <w:sz w:val="22"/>
          <w:szCs w:val="22"/>
        </w:rPr>
        <w:br/>
      </w:r>
      <w:proofErr w:type="spellStart"/>
      <w:r w:rsidRPr="001E0F49">
        <w:rPr>
          <w:rFonts w:ascii="Arial" w:hAnsi="Arial" w:cs="Arial"/>
          <w:sz w:val="22"/>
          <w:szCs w:val="22"/>
        </w:rPr>
        <w:t>EduMentor</w:t>
      </w:r>
      <w:proofErr w:type="spellEnd"/>
      <w:r w:rsidRPr="001E0F49">
        <w:rPr>
          <w:rFonts w:ascii="Arial" w:hAnsi="Arial" w:cs="Arial"/>
          <w:sz w:val="22"/>
          <w:szCs w:val="22"/>
        </w:rPr>
        <w:t xml:space="preserve"> is an AI-powered edtech startup offering personalized mentorship to students preparing for competitive exams. Backed by a strong IIT-founded team and solid early traction, the company shows high growth potential. Based on financial and qualitative analysis, I recommend a </w:t>
      </w:r>
      <w:r w:rsidRPr="001E0F49">
        <w:rPr>
          <w:rFonts w:ascii="Arial" w:hAnsi="Arial" w:cs="Arial"/>
          <w:b/>
          <w:bCs/>
          <w:sz w:val="22"/>
          <w:szCs w:val="22"/>
        </w:rPr>
        <w:t>Green Flag</w:t>
      </w:r>
      <w:r w:rsidRPr="001E0F49">
        <w:rPr>
          <w:rFonts w:ascii="Arial" w:hAnsi="Arial" w:cs="Arial"/>
          <w:sz w:val="22"/>
          <w:szCs w:val="22"/>
        </w:rPr>
        <w:t xml:space="preserve"> investment decision.</w:t>
      </w:r>
    </w:p>
    <w:p w14:paraId="538EC845" w14:textId="77777777" w:rsidR="002756BE" w:rsidRPr="001E0F49" w:rsidRDefault="00000000" w:rsidP="002756BE">
      <w:pPr>
        <w:rPr>
          <w:rFonts w:ascii="Arial" w:hAnsi="Arial" w:cs="Arial"/>
          <w:sz w:val="22"/>
          <w:szCs w:val="22"/>
        </w:rPr>
      </w:pPr>
      <w:r w:rsidRPr="001E0F49">
        <w:rPr>
          <w:rFonts w:ascii="Arial" w:hAnsi="Arial" w:cs="Arial"/>
          <w:sz w:val="22"/>
          <w:szCs w:val="22"/>
        </w:rPr>
        <w:pict w14:anchorId="334CEDFD">
          <v:rect id="_x0000_i1026" style="width:0;height:1.5pt" o:hralign="center" o:hrstd="t" o:hr="t" fillcolor="#a0a0a0" stroked="f"/>
        </w:pict>
      </w:r>
    </w:p>
    <w:p w14:paraId="27A5E7D1" w14:textId="77777777" w:rsidR="002756BE" w:rsidRPr="001E0F49" w:rsidRDefault="002756BE" w:rsidP="002756BE">
      <w:pPr>
        <w:rPr>
          <w:rFonts w:ascii="Arial" w:hAnsi="Arial" w:cs="Arial"/>
          <w:sz w:val="22"/>
          <w:szCs w:val="22"/>
        </w:rPr>
      </w:pPr>
      <w:r w:rsidRPr="001E0F49">
        <w:rPr>
          <w:rFonts w:ascii="Arial" w:hAnsi="Arial" w:cs="Arial"/>
          <w:b/>
          <w:bCs/>
          <w:sz w:val="22"/>
          <w:szCs w:val="22"/>
        </w:rPr>
        <w:t>2. Metrics Table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"/>
        <w:gridCol w:w="2881"/>
        <w:gridCol w:w="1047"/>
        <w:gridCol w:w="4709"/>
      </w:tblGrid>
      <w:tr w:rsidR="002756BE" w:rsidRPr="001E0F49" w14:paraId="7A610609" w14:textId="77777777" w:rsidTr="002756B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2BB1438" w14:textId="77777777" w:rsidR="002756BE" w:rsidRPr="001E0F49" w:rsidRDefault="002756BE" w:rsidP="002756B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0F49">
              <w:rPr>
                <w:rFonts w:ascii="Arial" w:hAnsi="Arial" w:cs="Arial"/>
                <w:b/>
                <w:bCs/>
                <w:sz w:val="22"/>
                <w:szCs w:val="22"/>
              </w:rPr>
              <w:t>Metric</w:t>
            </w:r>
          </w:p>
        </w:tc>
        <w:tc>
          <w:tcPr>
            <w:tcW w:w="0" w:type="auto"/>
            <w:vAlign w:val="center"/>
            <w:hideMark/>
          </w:tcPr>
          <w:p w14:paraId="7E037345" w14:textId="77777777" w:rsidR="002756BE" w:rsidRPr="001E0F49" w:rsidRDefault="002756BE" w:rsidP="002756B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0F49">
              <w:rPr>
                <w:rFonts w:ascii="Arial" w:hAnsi="Arial" w:cs="Arial"/>
                <w:b/>
                <w:bCs/>
                <w:sz w:val="22"/>
                <w:szCs w:val="22"/>
              </w:rPr>
              <w:t>Calculation</w:t>
            </w:r>
          </w:p>
        </w:tc>
        <w:tc>
          <w:tcPr>
            <w:tcW w:w="0" w:type="auto"/>
            <w:vAlign w:val="center"/>
            <w:hideMark/>
          </w:tcPr>
          <w:p w14:paraId="656A107B" w14:textId="77777777" w:rsidR="002756BE" w:rsidRPr="001E0F49" w:rsidRDefault="002756BE" w:rsidP="002756B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0F49">
              <w:rPr>
                <w:rFonts w:ascii="Arial" w:hAnsi="Arial" w:cs="Arial"/>
                <w:b/>
                <w:bCs/>
                <w:sz w:val="22"/>
                <w:szCs w:val="22"/>
              </w:rPr>
              <w:t>Result (₹)</w:t>
            </w:r>
          </w:p>
        </w:tc>
        <w:tc>
          <w:tcPr>
            <w:tcW w:w="0" w:type="auto"/>
            <w:vAlign w:val="center"/>
            <w:hideMark/>
          </w:tcPr>
          <w:p w14:paraId="3107269C" w14:textId="77777777" w:rsidR="002756BE" w:rsidRPr="001E0F49" w:rsidRDefault="002756BE" w:rsidP="002756B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0F49">
              <w:rPr>
                <w:rFonts w:ascii="Arial" w:hAnsi="Arial" w:cs="Arial"/>
                <w:b/>
                <w:bCs/>
                <w:sz w:val="22"/>
                <w:szCs w:val="22"/>
              </w:rPr>
              <w:t>Source / Note</w:t>
            </w:r>
          </w:p>
        </w:tc>
      </w:tr>
      <w:tr w:rsidR="002756BE" w:rsidRPr="001E0F49" w14:paraId="13DF2477" w14:textId="77777777" w:rsidTr="002756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317F87" w14:textId="77777777" w:rsidR="002756BE" w:rsidRPr="001E0F49" w:rsidRDefault="002756BE" w:rsidP="002756BE">
            <w:pPr>
              <w:rPr>
                <w:rFonts w:ascii="Arial" w:hAnsi="Arial" w:cs="Arial"/>
                <w:sz w:val="22"/>
                <w:szCs w:val="22"/>
              </w:rPr>
            </w:pPr>
            <w:r w:rsidRPr="001E0F49">
              <w:rPr>
                <w:rFonts w:ascii="Arial" w:hAnsi="Arial" w:cs="Arial"/>
                <w:sz w:val="22"/>
                <w:szCs w:val="22"/>
              </w:rPr>
              <w:t>ARR</w:t>
            </w:r>
          </w:p>
        </w:tc>
        <w:tc>
          <w:tcPr>
            <w:tcW w:w="0" w:type="auto"/>
            <w:vAlign w:val="center"/>
            <w:hideMark/>
          </w:tcPr>
          <w:p w14:paraId="40F64C6A" w14:textId="77777777" w:rsidR="002756BE" w:rsidRPr="001E0F49" w:rsidRDefault="002756BE" w:rsidP="002756BE">
            <w:pPr>
              <w:rPr>
                <w:rFonts w:ascii="Arial" w:hAnsi="Arial" w:cs="Arial"/>
                <w:sz w:val="22"/>
                <w:szCs w:val="22"/>
              </w:rPr>
            </w:pPr>
            <w:r w:rsidRPr="001E0F49">
              <w:rPr>
                <w:rFonts w:ascii="Arial" w:hAnsi="Arial" w:cs="Arial"/>
                <w:sz w:val="22"/>
                <w:szCs w:val="22"/>
              </w:rPr>
              <w:t>₹11,988 × 5,000 users</w:t>
            </w:r>
          </w:p>
        </w:tc>
        <w:tc>
          <w:tcPr>
            <w:tcW w:w="0" w:type="auto"/>
            <w:vAlign w:val="center"/>
            <w:hideMark/>
          </w:tcPr>
          <w:p w14:paraId="43DE476A" w14:textId="77777777" w:rsidR="002756BE" w:rsidRPr="001E0F49" w:rsidRDefault="002756BE" w:rsidP="002756BE">
            <w:pPr>
              <w:rPr>
                <w:rFonts w:ascii="Arial" w:hAnsi="Arial" w:cs="Arial"/>
                <w:sz w:val="22"/>
                <w:szCs w:val="22"/>
              </w:rPr>
            </w:pPr>
            <w:r w:rsidRPr="001E0F49">
              <w:rPr>
                <w:rFonts w:ascii="Arial" w:hAnsi="Arial" w:cs="Arial"/>
                <w:sz w:val="22"/>
                <w:szCs w:val="22"/>
              </w:rPr>
              <w:t>₹5.994 Cr</w:t>
            </w:r>
          </w:p>
        </w:tc>
        <w:tc>
          <w:tcPr>
            <w:tcW w:w="0" w:type="auto"/>
            <w:vAlign w:val="center"/>
            <w:hideMark/>
          </w:tcPr>
          <w:p w14:paraId="41667D3B" w14:textId="77777777" w:rsidR="002756BE" w:rsidRPr="001E0F49" w:rsidRDefault="002756BE" w:rsidP="002756BE">
            <w:pPr>
              <w:rPr>
                <w:rFonts w:ascii="Arial" w:hAnsi="Arial" w:cs="Arial"/>
                <w:sz w:val="22"/>
                <w:szCs w:val="22"/>
              </w:rPr>
            </w:pPr>
            <w:r w:rsidRPr="001E0F49">
              <w:rPr>
                <w:rFonts w:ascii="Arial" w:hAnsi="Arial" w:cs="Arial"/>
                <w:sz w:val="22"/>
                <w:szCs w:val="22"/>
              </w:rPr>
              <w:t>Pitch deck, Financials.xlsx</w:t>
            </w:r>
          </w:p>
        </w:tc>
      </w:tr>
      <w:tr w:rsidR="002756BE" w:rsidRPr="001E0F49" w14:paraId="2060A4FA" w14:textId="77777777" w:rsidTr="002756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86AF83" w14:textId="77777777" w:rsidR="002756BE" w:rsidRPr="001E0F49" w:rsidRDefault="002756BE" w:rsidP="002756BE">
            <w:pPr>
              <w:rPr>
                <w:rFonts w:ascii="Arial" w:hAnsi="Arial" w:cs="Arial"/>
                <w:sz w:val="22"/>
                <w:szCs w:val="22"/>
              </w:rPr>
            </w:pPr>
            <w:r w:rsidRPr="001E0F49">
              <w:rPr>
                <w:rFonts w:ascii="Arial" w:hAnsi="Arial" w:cs="Arial"/>
                <w:sz w:val="22"/>
                <w:szCs w:val="22"/>
              </w:rPr>
              <w:t>CAC</w:t>
            </w:r>
          </w:p>
        </w:tc>
        <w:tc>
          <w:tcPr>
            <w:tcW w:w="0" w:type="auto"/>
            <w:vAlign w:val="center"/>
            <w:hideMark/>
          </w:tcPr>
          <w:p w14:paraId="34081CF7" w14:textId="77777777" w:rsidR="002756BE" w:rsidRPr="001E0F49" w:rsidRDefault="002756BE" w:rsidP="002756BE">
            <w:pPr>
              <w:rPr>
                <w:rFonts w:ascii="Arial" w:hAnsi="Arial" w:cs="Arial"/>
                <w:sz w:val="22"/>
                <w:szCs w:val="22"/>
              </w:rPr>
            </w:pPr>
            <w:r w:rsidRPr="001E0F49">
              <w:rPr>
                <w:rFonts w:ascii="Arial" w:hAnsi="Arial" w:cs="Arial"/>
                <w:sz w:val="22"/>
                <w:szCs w:val="22"/>
              </w:rPr>
              <w:t>₹15,00,000 ÷ 4,000 new users</w:t>
            </w:r>
          </w:p>
        </w:tc>
        <w:tc>
          <w:tcPr>
            <w:tcW w:w="0" w:type="auto"/>
            <w:vAlign w:val="center"/>
            <w:hideMark/>
          </w:tcPr>
          <w:p w14:paraId="364C0A9F" w14:textId="77777777" w:rsidR="002756BE" w:rsidRPr="001E0F49" w:rsidRDefault="002756BE" w:rsidP="002756BE">
            <w:pPr>
              <w:rPr>
                <w:rFonts w:ascii="Arial" w:hAnsi="Arial" w:cs="Arial"/>
                <w:sz w:val="22"/>
                <w:szCs w:val="22"/>
              </w:rPr>
            </w:pPr>
            <w:r w:rsidRPr="001E0F49">
              <w:rPr>
                <w:rFonts w:ascii="Arial" w:hAnsi="Arial" w:cs="Arial"/>
                <w:sz w:val="22"/>
                <w:szCs w:val="22"/>
              </w:rPr>
              <w:t>₹375</w:t>
            </w:r>
          </w:p>
        </w:tc>
        <w:tc>
          <w:tcPr>
            <w:tcW w:w="0" w:type="auto"/>
            <w:vAlign w:val="center"/>
            <w:hideMark/>
          </w:tcPr>
          <w:p w14:paraId="1E4035E7" w14:textId="77777777" w:rsidR="002756BE" w:rsidRPr="001E0F49" w:rsidRDefault="002756BE" w:rsidP="002756BE">
            <w:pPr>
              <w:rPr>
                <w:rFonts w:ascii="Arial" w:hAnsi="Arial" w:cs="Arial"/>
                <w:sz w:val="22"/>
                <w:szCs w:val="22"/>
              </w:rPr>
            </w:pPr>
            <w:r w:rsidRPr="001E0F49">
              <w:rPr>
                <w:rFonts w:ascii="Arial" w:hAnsi="Arial" w:cs="Arial"/>
                <w:sz w:val="22"/>
                <w:szCs w:val="22"/>
              </w:rPr>
              <w:t>Financials.xlsx</w:t>
            </w:r>
          </w:p>
        </w:tc>
      </w:tr>
      <w:tr w:rsidR="002756BE" w:rsidRPr="001E0F49" w14:paraId="0AFC7950" w14:textId="77777777" w:rsidTr="002756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A5DE4B" w14:textId="77777777" w:rsidR="002756BE" w:rsidRPr="001E0F49" w:rsidRDefault="002756BE" w:rsidP="002756BE">
            <w:pPr>
              <w:rPr>
                <w:rFonts w:ascii="Arial" w:hAnsi="Arial" w:cs="Arial"/>
                <w:sz w:val="22"/>
                <w:szCs w:val="22"/>
              </w:rPr>
            </w:pPr>
            <w:r w:rsidRPr="001E0F49">
              <w:rPr>
                <w:rFonts w:ascii="Arial" w:hAnsi="Arial" w:cs="Arial"/>
                <w:sz w:val="22"/>
                <w:szCs w:val="22"/>
              </w:rPr>
              <w:t>LTV</w:t>
            </w:r>
          </w:p>
        </w:tc>
        <w:tc>
          <w:tcPr>
            <w:tcW w:w="0" w:type="auto"/>
            <w:vAlign w:val="center"/>
            <w:hideMark/>
          </w:tcPr>
          <w:p w14:paraId="144DA410" w14:textId="77777777" w:rsidR="002756BE" w:rsidRPr="001E0F49" w:rsidRDefault="002756BE" w:rsidP="002756BE">
            <w:pPr>
              <w:rPr>
                <w:rFonts w:ascii="Arial" w:hAnsi="Arial" w:cs="Arial"/>
                <w:sz w:val="22"/>
                <w:szCs w:val="22"/>
              </w:rPr>
            </w:pPr>
            <w:r w:rsidRPr="001E0F49">
              <w:rPr>
                <w:rFonts w:ascii="Arial" w:hAnsi="Arial" w:cs="Arial"/>
                <w:sz w:val="22"/>
                <w:szCs w:val="22"/>
              </w:rPr>
              <w:t>₹11,988 ÷ 0.25</w:t>
            </w:r>
          </w:p>
        </w:tc>
        <w:tc>
          <w:tcPr>
            <w:tcW w:w="0" w:type="auto"/>
            <w:vAlign w:val="center"/>
            <w:hideMark/>
          </w:tcPr>
          <w:p w14:paraId="019BB1DD" w14:textId="77777777" w:rsidR="002756BE" w:rsidRPr="001E0F49" w:rsidRDefault="002756BE" w:rsidP="002756BE">
            <w:pPr>
              <w:rPr>
                <w:rFonts w:ascii="Arial" w:hAnsi="Arial" w:cs="Arial"/>
                <w:sz w:val="22"/>
                <w:szCs w:val="22"/>
              </w:rPr>
            </w:pPr>
            <w:r w:rsidRPr="001E0F49">
              <w:rPr>
                <w:rFonts w:ascii="Arial" w:hAnsi="Arial" w:cs="Arial"/>
                <w:sz w:val="22"/>
                <w:szCs w:val="22"/>
              </w:rPr>
              <w:t>₹47,952</w:t>
            </w:r>
          </w:p>
        </w:tc>
        <w:tc>
          <w:tcPr>
            <w:tcW w:w="0" w:type="auto"/>
            <w:vAlign w:val="center"/>
            <w:hideMark/>
          </w:tcPr>
          <w:p w14:paraId="4D0319AA" w14:textId="77777777" w:rsidR="002756BE" w:rsidRPr="001E0F49" w:rsidRDefault="002756BE" w:rsidP="002756BE">
            <w:pPr>
              <w:rPr>
                <w:rFonts w:ascii="Arial" w:hAnsi="Arial" w:cs="Arial"/>
                <w:sz w:val="22"/>
                <w:szCs w:val="22"/>
              </w:rPr>
            </w:pPr>
            <w:r w:rsidRPr="001E0F49">
              <w:rPr>
                <w:rFonts w:ascii="Arial" w:hAnsi="Arial" w:cs="Arial"/>
                <w:sz w:val="22"/>
                <w:szCs w:val="22"/>
              </w:rPr>
              <w:t>Based on 25% churn (Business Standard clipping)</w:t>
            </w:r>
          </w:p>
        </w:tc>
      </w:tr>
    </w:tbl>
    <w:p w14:paraId="12C695E2" w14:textId="77777777" w:rsidR="002756BE" w:rsidRPr="001E0F49" w:rsidRDefault="00000000" w:rsidP="002756BE">
      <w:pPr>
        <w:rPr>
          <w:rFonts w:ascii="Arial" w:hAnsi="Arial" w:cs="Arial"/>
          <w:sz w:val="22"/>
          <w:szCs w:val="22"/>
        </w:rPr>
      </w:pPr>
      <w:r w:rsidRPr="001E0F49">
        <w:rPr>
          <w:rFonts w:ascii="Arial" w:hAnsi="Arial" w:cs="Arial"/>
          <w:sz w:val="22"/>
          <w:szCs w:val="22"/>
        </w:rPr>
        <w:pict w14:anchorId="2952DD0D">
          <v:rect id="_x0000_i1027" style="width:0;height:1.5pt" o:hralign="center" o:hrstd="t" o:hr="t" fillcolor="#a0a0a0" stroked="f"/>
        </w:pict>
      </w:r>
    </w:p>
    <w:p w14:paraId="6770ABD5" w14:textId="77777777" w:rsidR="002756BE" w:rsidRPr="001E0F49" w:rsidRDefault="002756BE" w:rsidP="002756BE">
      <w:pPr>
        <w:rPr>
          <w:rFonts w:ascii="Arial" w:hAnsi="Arial" w:cs="Arial"/>
          <w:sz w:val="22"/>
          <w:szCs w:val="22"/>
        </w:rPr>
      </w:pPr>
      <w:r w:rsidRPr="001E0F49">
        <w:rPr>
          <w:rFonts w:ascii="Arial" w:hAnsi="Arial" w:cs="Arial"/>
          <w:b/>
          <w:bCs/>
          <w:sz w:val="22"/>
          <w:szCs w:val="22"/>
        </w:rPr>
        <w:t>3. Recommendation (100 words)</w:t>
      </w:r>
      <w:r w:rsidRPr="001E0F49">
        <w:rPr>
          <w:rFonts w:ascii="Arial" w:hAnsi="Arial" w:cs="Arial"/>
          <w:sz w:val="22"/>
          <w:szCs w:val="22"/>
        </w:rPr>
        <w:br/>
        <w:t xml:space="preserve">We recommend a </w:t>
      </w:r>
      <w:r w:rsidRPr="001E0F49">
        <w:rPr>
          <w:rFonts w:ascii="Arial" w:hAnsi="Arial" w:cs="Arial"/>
          <w:b/>
          <w:bCs/>
          <w:sz w:val="22"/>
          <w:szCs w:val="22"/>
        </w:rPr>
        <w:t>Green Flag</w:t>
      </w:r>
      <w:r w:rsidRPr="001E0F49">
        <w:rPr>
          <w:rFonts w:ascii="Arial" w:hAnsi="Arial" w:cs="Arial"/>
          <w:sz w:val="22"/>
          <w:szCs w:val="22"/>
        </w:rPr>
        <w:t xml:space="preserve"> investment based on two key factors:</w:t>
      </w:r>
    </w:p>
    <w:p w14:paraId="687CF513" w14:textId="77777777" w:rsidR="002756BE" w:rsidRPr="001E0F49" w:rsidRDefault="002756BE" w:rsidP="002756B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1E0F49">
        <w:rPr>
          <w:rFonts w:ascii="Arial" w:hAnsi="Arial" w:cs="Arial"/>
          <w:sz w:val="22"/>
          <w:szCs w:val="22"/>
        </w:rPr>
        <w:t>EduMentor</w:t>
      </w:r>
      <w:proofErr w:type="spellEnd"/>
      <w:r w:rsidRPr="001E0F49">
        <w:rPr>
          <w:rFonts w:ascii="Arial" w:hAnsi="Arial" w:cs="Arial"/>
          <w:sz w:val="22"/>
          <w:szCs w:val="22"/>
        </w:rPr>
        <w:t xml:space="preserve"> has an exceptional LTV:CAC ratio (~128x), indicating strong monetization efficiency per customer.</w:t>
      </w:r>
    </w:p>
    <w:p w14:paraId="1CD2CCEB" w14:textId="77777777" w:rsidR="002756BE" w:rsidRDefault="002756BE" w:rsidP="002756B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0F49">
        <w:rPr>
          <w:rFonts w:ascii="Arial" w:hAnsi="Arial" w:cs="Arial"/>
          <w:sz w:val="22"/>
          <w:szCs w:val="22"/>
        </w:rPr>
        <w:t>The startup is currently valued at just ~1.0x ARR, whereas industry benchmarks for edtech range from 5x to 10x, presenting substantial valuation upside.</w:t>
      </w:r>
      <w:r w:rsidRPr="001E0F49">
        <w:rPr>
          <w:rFonts w:ascii="Arial" w:hAnsi="Arial" w:cs="Arial"/>
          <w:sz w:val="22"/>
          <w:szCs w:val="22"/>
        </w:rPr>
        <w:br/>
        <w:t>Further, the founding team’s background (IIT, ex-</w:t>
      </w:r>
      <w:proofErr w:type="spellStart"/>
      <w:r w:rsidRPr="001E0F49">
        <w:rPr>
          <w:rFonts w:ascii="Arial" w:hAnsi="Arial" w:cs="Arial"/>
          <w:sz w:val="22"/>
          <w:szCs w:val="22"/>
        </w:rPr>
        <w:t>Byju’s</w:t>
      </w:r>
      <w:proofErr w:type="spellEnd"/>
      <w:r w:rsidRPr="001E0F49">
        <w:rPr>
          <w:rFonts w:ascii="Arial" w:hAnsi="Arial" w:cs="Arial"/>
          <w:sz w:val="22"/>
          <w:szCs w:val="22"/>
        </w:rPr>
        <w:t>, Google) and a growing TAM of ₹50,000 Cr create favorable conditions for scalable growth. While churn and CAC may vary post-scale, the current fundamentals support a compelling early-stage investment case.</w:t>
      </w:r>
    </w:p>
    <w:p w14:paraId="51B6C18B" w14:textId="53C0D891" w:rsidR="0016331C" w:rsidRPr="001E0F49" w:rsidRDefault="002471A3" w:rsidP="002756B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Focus on High Volume Exams like JEE, NEET and UPSC </w:t>
      </w:r>
      <w:r w:rsidR="00CA4C37">
        <w:rPr>
          <w:rFonts w:ascii="Arial" w:hAnsi="Arial" w:cs="Arial"/>
          <w:sz w:val="22"/>
          <w:szCs w:val="22"/>
        </w:rPr>
        <w:t xml:space="preserve">and try to dominate in any one of them </w:t>
      </w:r>
      <w:r w:rsidR="006D107F">
        <w:rPr>
          <w:rFonts w:ascii="Arial" w:hAnsi="Arial" w:cs="Arial"/>
          <w:sz w:val="22"/>
          <w:szCs w:val="22"/>
        </w:rPr>
        <w:t xml:space="preserve">(to become the best ed tech coaching for </w:t>
      </w:r>
      <w:r w:rsidR="00506208">
        <w:rPr>
          <w:rFonts w:ascii="Arial" w:hAnsi="Arial" w:cs="Arial"/>
          <w:sz w:val="22"/>
          <w:szCs w:val="22"/>
        </w:rPr>
        <w:t>JEE</w:t>
      </w:r>
      <w:r w:rsidR="006D107F">
        <w:rPr>
          <w:rFonts w:ascii="Arial" w:hAnsi="Arial" w:cs="Arial"/>
          <w:sz w:val="22"/>
          <w:szCs w:val="22"/>
        </w:rPr>
        <w:t xml:space="preserve"> or </w:t>
      </w:r>
      <w:r w:rsidR="00506208">
        <w:rPr>
          <w:rFonts w:ascii="Arial" w:hAnsi="Arial" w:cs="Arial"/>
          <w:sz w:val="22"/>
          <w:szCs w:val="22"/>
        </w:rPr>
        <w:t>NEET</w:t>
      </w:r>
      <w:r w:rsidR="006D107F">
        <w:rPr>
          <w:rFonts w:ascii="Arial" w:hAnsi="Arial" w:cs="Arial"/>
          <w:sz w:val="22"/>
          <w:szCs w:val="22"/>
        </w:rPr>
        <w:t>)</w:t>
      </w:r>
      <w:r w:rsidR="00803B40">
        <w:rPr>
          <w:rFonts w:ascii="Arial" w:hAnsi="Arial" w:cs="Arial"/>
          <w:sz w:val="22"/>
          <w:szCs w:val="22"/>
        </w:rPr>
        <w:t xml:space="preserve"> by providi</w:t>
      </w:r>
      <w:r w:rsidR="00BD5D61">
        <w:rPr>
          <w:rFonts w:ascii="Arial" w:hAnsi="Arial" w:cs="Arial"/>
          <w:sz w:val="22"/>
          <w:szCs w:val="22"/>
        </w:rPr>
        <w:t>ng quality education</w:t>
      </w:r>
      <w:r w:rsidR="00BB3EA7">
        <w:rPr>
          <w:rFonts w:ascii="Arial" w:hAnsi="Arial" w:cs="Arial"/>
          <w:sz w:val="22"/>
          <w:szCs w:val="22"/>
        </w:rPr>
        <w:t xml:space="preserve">, as it will create a brand value </w:t>
      </w:r>
      <w:r w:rsidR="00F54C9C">
        <w:rPr>
          <w:rFonts w:ascii="Arial" w:hAnsi="Arial" w:cs="Arial"/>
          <w:sz w:val="22"/>
          <w:szCs w:val="22"/>
        </w:rPr>
        <w:t>of its own</w:t>
      </w:r>
      <w:r w:rsidR="00B16145">
        <w:rPr>
          <w:rFonts w:ascii="Arial" w:hAnsi="Arial" w:cs="Arial"/>
          <w:sz w:val="22"/>
          <w:szCs w:val="22"/>
        </w:rPr>
        <w:t>.</w:t>
      </w:r>
    </w:p>
    <w:p w14:paraId="5E0C263E" w14:textId="77777777" w:rsidR="002756BE" w:rsidRPr="001E0F49" w:rsidRDefault="00000000" w:rsidP="002756BE">
      <w:pPr>
        <w:rPr>
          <w:rFonts w:ascii="Arial" w:hAnsi="Arial" w:cs="Arial"/>
          <w:sz w:val="22"/>
          <w:szCs w:val="22"/>
        </w:rPr>
      </w:pPr>
      <w:r w:rsidRPr="001E0F49">
        <w:rPr>
          <w:rFonts w:ascii="Arial" w:hAnsi="Arial" w:cs="Arial"/>
          <w:sz w:val="22"/>
          <w:szCs w:val="22"/>
        </w:rPr>
        <w:pict w14:anchorId="6AF702E7">
          <v:rect id="_x0000_i1028" style="width:0;height:1.5pt" o:hralign="center" o:hrstd="t" o:hr="t" fillcolor="#a0a0a0" stroked="f"/>
        </w:pict>
      </w:r>
    </w:p>
    <w:p w14:paraId="1323EE52" w14:textId="53D75121" w:rsidR="002756BE" w:rsidRPr="001E0F49" w:rsidRDefault="002756BE" w:rsidP="002756BE">
      <w:pPr>
        <w:rPr>
          <w:rFonts w:ascii="Arial" w:hAnsi="Arial" w:cs="Arial"/>
          <w:sz w:val="22"/>
          <w:szCs w:val="22"/>
        </w:rPr>
      </w:pPr>
      <w:proofErr w:type="spellStart"/>
      <w:r w:rsidRPr="001E0F49">
        <w:rPr>
          <w:rFonts w:ascii="Arial" w:hAnsi="Arial" w:cs="Arial"/>
          <w:b/>
          <w:bCs/>
          <w:sz w:val="22"/>
          <w:szCs w:val="22"/>
        </w:rPr>
        <w:lastRenderedPageBreak/>
        <w:t>Wooble</w:t>
      </w:r>
      <w:proofErr w:type="spellEnd"/>
      <w:r w:rsidRPr="001E0F49">
        <w:rPr>
          <w:rFonts w:ascii="Arial" w:hAnsi="Arial" w:cs="Arial"/>
          <w:b/>
          <w:bCs/>
          <w:sz w:val="22"/>
          <w:szCs w:val="22"/>
        </w:rPr>
        <w:t xml:space="preserve"> Challenge </w:t>
      </w:r>
      <w:proofErr w:type="gramStart"/>
      <w:r w:rsidRPr="001E0F49">
        <w:rPr>
          <w:rFonts w:ascii="Arial" w:hAnsi="Arial" w:cs="Arial"/>
          <w:b/>
          <w:bCs/>
          <w:sz w:val="22"/>
          <w:szCs w:val="22"/>
        </w:rPr>
        <w:t>Summary :</w:t>
      </w:r>
      <w:proofErr w:type="gramEnd"/>
      <w:r w:rsidRPr="001E0F49">
        <w:rPr>
          <w:rFonts w:ascii="Arial" w:hAnsi="Arial" w:cs="Arial"/>
          <w:sz w:val="22"/>
          <w:szCs w:val="22"/>
        </w:rPr>
        <w:br/>
        <w:t xml:space="preserve">Evaluated </w:t>
      </w:r>
      <w:proofErr w:type="spellStart"/>
      <w:r w:rsidRPr="001E0F49">
        <w:rPr>
          <w:rFonts w:ascii="Arial" w:hAnsi="Arial" w:cs="Arial"/>
          <w:sz w:val="22"/>
          <w:szCs w:val="22"/>
        </w:rPr>
        <w:t>EduMentor’s</w:t>
      </w:r>
      <w:proofErr w:type="spellEnd"/>
      <w:r w:rsidRPr="001E0F49">
        <w:rPr>
          <w:rFonts w:ascii="Arial" w:hAnsi="Arial" w:cs="Arial"/>
          <w:sz w:val="22"/>
          <w:szCs w:val="22"/>
        </w:rPr>
        <w:t xml:space="preserve"> ARR, CAC, and LTV using projections and market data. Recommended a Green Flag investment based on efficiency, team strength, and market size. Although one thing I would like to add that while the LTV:CAC ratio appears exceptionally high, it could be partially inflated due to early-stage user behavior. Repeat engagement and real churn data post-scale will validate this projection.</w:t>
      </w:r>
    </w:p>
    <w:p w14:paraId="79EFD440" w14:textId="77777777" w:rsidR="002756BE" w:rsidRPr="001E0F49" w:rsidRDefault="002756BE">
      <w:pPr>
        <w:rPr>
          <w:rFonts w:ascii="Arial" w:hAnsi="Arial" w:cs="Arial"/>
          <w:sz w:val="22"/>
          <w:szCs w:val="22"/>
        </w:rPr>
      </w:pPr>
    </w:p>
    <w:sectPr w:rsidR="002756BE" w:rsidRPr="001E0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D4CAE"/>
    <w:multiLevelType w:val="multilevel"/>
    <w:tmpl w:val="0B2E2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622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BE"/>
    <w:rsid w:val="0016331C"/>
    <w:rsid w:val="001E0F49"/>
    <w:rsid w:val="002471A3"/>
    <w:rsid w:val="002756BE"/>
    <w:rsid w:val="00404461"/>
    <w:rsid w:val="00506208"/>
    <w:rsid w:val="006D107F"/>
    <w:rsid w:val="00803B40"/>
    <w:rsid w:val="00B16145"/>
    <w:rsid w:val="00BB3EA7"/>
    <w:rsid w:val="00BD5D61"/>
    <w:rsid w:val="00CA4C37"/>
    <w:rsid w:val="00F5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980E2"/>
  <w15:chartTrackingRefBased/>
  <w15:docId w15:val="{C5E5BBE5-4119-4FC1-8E1A-CD79BAFB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5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6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6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5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5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6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56B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56B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56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56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56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56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5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5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5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5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56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56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56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5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56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5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srivastavaashutosh393@gmail.com</dc:creator>
  <cp:keywords/>
  <dc:description/>
  <cp:lastModifiedBy>srivastavaashutosh393@gmail.com</cp:lastModifiedBy>
  <cp:revision>12</cp:revision>
  <dcterms:created xsi:type="dcterms:W3CDTF">2025-07-11T07:34:00Z</dcterms:created>
  <dcterms:modified xsi:type="dcterms:W3CDTF">2025-07-11T08:01:00Z</dcterms:modified>
</cp:coreProperties>
</file>